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210E8"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宁德市闽东医院安全生产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风险评估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项目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内容与要求</w:t>
      </w:r>
    </w:p>
    <w:p w14:paraId="5D5A9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根据我院安全管理及信息化发展需要，现针对安全生产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风险评估服务</w:t>
      </w:r>
      <w:r>
        <w:rPr>
          <w:rFonts w:hint="eastAsia" w:ascii="宋体" w:hAnsi="宋体" w:eastAsia="宋体"/>
          <w:sz w:val="28"/>
          <w:szCs w:val="28"/>
        </w:rPr>
        <w:t>项目进行市场调研，欢迎符合条件的潜在供应商报名参加。</w:t>
      </w:r>
    </w:p>
    <w:p w14:paraId="52EF6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</w:t>
      </w:r>
      <w:r>
        <w:rPr>
          <w:rFonts w:ascii="宋体" w:hAnsi="宋体" w:eastAsia="宋体"/>
          <w:sz w:val="28"/>
          <w:szCs w:val="28"/>
        </w:rPr>
        <w:t>项目内容如下</w:t>
      </w:r>
    </w:p>
    <w:p w14:paraId="66C58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项目概况</w:t>
      </w:r>
    </w:p>
    <w:p w14:paraId="44306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为落实省委省政府、省卫健委关于安全生产的工作部署，切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实</w:t>
      </w:r>
      <w:r>
        <w:rPr>
          <w:rFonts w:ascii="宋体" w:hAnsi="宋体" w:eastAsia="宋体"/>
          <w:sz w:val="28"/>
          <w:szCs w:val="28"/>
        </w:rPr>
        <w:t>提升医院安全生产保障能力和水平，实现“风险评估工作项目化、安全风险排查清单化、落实防控措施表单化、分类分级管控责任化”。为全面研究分析我院存在的安全风险与隐患，开展我院风险分级管控和隐患排查治理双重预防工作。</w:t>
      </w:r>
    </w:p>
    <w:p w14:paraId="0F9E7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服务</w:t>
      </w:r>
      <w:r>
        <w:rPr>
          <w:rFonts w:ascii="宋体" w:hAnsi="宋体" w:eastAsia="宋体"/>
          <w:sz w:val="28"/>
          <w:szCs w:val="28"/>
        </w:rPr>
        <w:t>地点</w:t>
      </w:r>
    </w:p>
    <w:p w14:paraId="4E181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福建省宁德市福安市鹤山路89号(宁德市闽东医院</w:t>
      </w:r>
      <w:r>
        <w:rPr>
          <w:rFonts w:ascii="宋体" w:hAnsi="宋体" w:eastAsia="宋体"/>
          <w:sz w:val="28"/>
          <w:szCs w:val="28"/>
        </w:rPr>
        <w:t>)。</w:t>
      </w:r>
    </w:p>
    <w:p w14:paraId="0E577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.项目建设目标</w:t>
      </w:r>
    </w:p>
    <w:p w14:paraId="4D213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对医院风险与隐患进行全面的摸底排查，并借助互联网、大数据等技术，建立双重预防管理平台，可在电脑端、手机端互联互通。</w:t>
      </w:r>
    </w:p>
    <w:p w14:paraId="0F54F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.服务内容</w:t>
      </w:r>
    </w:p>
    <w:p w14:paraId="49822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4.1风险评估服务</w:t>
      </w:r>
    </w:p>
    <w:p w14:paraId="21605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4.1.1．风险识别服务：遵循大小适中、便于分类、功能独立、易于管理、范围清晰的原则。涵盖医院安全管理全过程的所有工作，如消防、安防、行政管理、后勤保障、诊疗、护理等。风险点包含设施、作业、区域场所。</w:t>
      </w:r>
    </w:p>
    <w:p w14:paraId="08621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4.1.2．风险因素辨识服务：从设备设施、物品、人员出发，结合全面质量控制（TQC）：人、机、料、法、环、测六个方面和查找风险因素或风险载体，确定风险有害因素存在位置、存在方式并予以准确描述。</w:t>
      </w:r>
    </w:p>
    <w:p w14:paraId="36A1E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4.1.3.风险分级服务：根据风险评估结果，确定风险因素可导致不同事故类型的风险等级。</w:t>
      </w:r>
    </w:p>
    <w:p w14:paraId="7B4C2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.1.4.</w:t>
      </w:r>
      <w:r>
        <w:rPr>
          <w:rFonts w:hint="eastAsia" w:ascii="宋体" w:hAnsi="宋体" w:eastAsia="宋体"/>
          <w:sz w:val="28"/>
          <w:szCs w:val="28"/>
        </w:rPr>
        <w:t>风险标识服务：针对全院整体平面、1号楼、2号楼、3号楼、4号楼、5号楼、6号楼、仓库楼、停车楼、污水处理站、医疗废物暂存点提供安全风险等级四色标识服务，重大风险、较大风险、一般风险和低风险，分别用红、橙、黄、蓝四种颜色标示。</w:t>
      </w:r>
    </w:p>
    <w:p w14:paraId="33A38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4.2隐患排查服务</w:t>
      </w:r>
    </w:p>
    <w:p w14:paraId="2412C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4.2.1制定隐患排查计划</w:t>
      </w:r>
    </w:p>
    <w:p w14:paraId="7F789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明确隐患排查的事项、内容、层级、责任人和频次。对存在重大风险和较大风险的场所、环节、部位及其管控措施应重点排查。</w:t>
      </w:r>
    </w:p>
    <w:p w14:paraId="51550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4.2.2治安安全排查服务</w:t>
      </w:r>
    </w:p>
    <w:p w14:paraId="463BD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针对安全卡口、紧急求助、门禁管控、重点人员等方面进行排查。</w:t>
      </w:r>
    </w:p>
    <w:p w14:paraId="01D19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4.2.3消防安全排查服务</w:t>
      </w:r>
    </w:p>
    <w:p w14:paraId="61408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针对火灾报警、灭火装置、电气安全、消防用水、可燃气体等方面进行排查。</w:t>
      </w:r>
    </w:p>
    <w:p w14:paraId="035A3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4.2.4生产安全排查服务</w:t>
      </w:r>
    </w:p>
    <w:p w14:paraId="37986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针对中央空调、电梯安全、医用气体、配电系统等方面进行排查。</w:t>
      </w:r>
    </w:p>
    <w:p w14:paraId="6C72E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4.2.5环境安全排查服务</w:t>
      </w:r>
    </w:p>
    <w:p w14:paraId="0FF90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针对人员密度、房屋安全、污水处理、医疗垃圾等方面进行排查。</w:t>
      </w:r>
    </w:p>
    <w:p w14:paraId="5F696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</w:t>
      </w:r>
      <w:r>
        <w:rPr>
          <w:rFonts w:hint="eastAsia" w:ascii="宋体" w:hAnsi="宋体" w:eastAsia="宋体"/>
          <w:sz w:val="28"/>
          <w:szCs w:val="28"/>
        </w:rPr>
        <w:t>.3配套软件</w:t>
      </w:r>
    </w:p>
    <w:p w14:paraId="698E3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需提供配套软件，便于后期医院自行进行风险与隐患的动态管理。软件功能需包含隐患的闭环管理与风险的日常管理，持w</w:t>
      </w:r>
      <w:r>
        <w:rPr>
          <w:rFonts w:ascii="宋体" w:hAnsi="宋体" w:eastAsia="宋体"/>
          <w:sz w:val="28"/>
          <w:szCs w:val="28"/>
        </w:rPr>
        <w:t>eb端</w:t>
      </w:r>
      <w:r>
        <w:rPr>
          <w:rFonts w:hint="eastAsia" w:ascii="宋体" w:hAnsi="宋体" w:eastAsia="宋体"/>
          <w:sz w:val="28"/>
          <w:szCs w:val="28"/>
        </w:rPr>
        <w:t>与a</w:t>
      </w:r>
      <w:r>
        <w:rPr>
          <w:rFonts w:ascii="宋体" w:hAnsi="宋体" w:eastAsia="宋体"/>
          <w:sz w:val="28"/>
          <w:szCs w:val="28"/>
        </w:rPr>
        <w:t>pp端</w:t>
      </w:r>
      <w:r>
        <w:rPr>
          <w:rFonts w:hint="eastAsia" w:ascii="宋体" w:hAnsi="宋体" w:eastAsia="宋体"/>
          <w:sz w:val="28"/>
          <w:szCs w:val="28"/>
        </w:rPr>
        <w:t>。配套软件需免费开放对接接口。</w:t>
      </w:r>
    </w:p>
    <w:p w14:paraId="0FF53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.4</w:t>
      </w:r>
      <w:r>
        <w:rPr>
          <w:rFonts w:hint="eastAsia" w:ascii="宋体" w:hAnsi="宋体" w:eastAsia="宋体"/>
          <w:sz w:val="28"/>
          <w:szCs w:val="28"/>
        </w:rPr>
        <w:t>成果输出</w:t>
      </w:r>
      <w:bookmarkStart w:id="0" w:name="_GoBack"/>
      <w:bookmarkEnd w:id="0"/>
    </w:p>
    <w:p w14:paraId="4EA48F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.4.1</w:t>
      </w:r>
      <w:r>
        <w:rPr>
          <w:rFonts w:hint="eastAsia" w:ascii="宋体" w:hAnsi="宋体" w:eastAsia="宋体"/>
          <w:sz w:val="28"/>
          <w:szCs w:val="28"/>
        </w:rPr>
        <w:t>．输出《双预防体系建设指导文档》</w:t>
      </w:r>
    </w:p>
    <w:p w14:paraId="1A2B6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输出形式：</w:t>
      </w:r>
    </w:p>
    <w:p w14:paraId="0F063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（1）电子版：可编辑版W</w:t>
      </w:r>
      <w:r>
        <w:rPr>
          <w:rFonts w:ascii="宋体" w:hAnsi="宋体" w:eastAsia="宋体"/>
          <w:sz w:val="28"/>
          <w:szCs w:val="28"/>
        </w:rPr>
        <w:t>ord</w:t>
      </w:r>
      <w:r>
        <w:rPr>
          <w:rFonts w:hint="eastAsia" w:ascii="宋体" w:hAnsi="宋体" w:eastAsia="宋体"/>
          <w:sz w:val="28"/>
          <w:szCs w:val="28"/>
        </w:rPr>
        <w:t>文档一份、可打印版PDF文件一份。</w:t>
      </w:r>
    </w:p>
    <w:p w14:paraId="7D664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（2）纸质版：纸质文档两份。</w:t>
      </w:r>
    </w:p>
    <w:p w14:paraId="58F56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4.4.2．输出《风险辨识分析评价手册》</w:t>
      </w:r>
    </w:p>
    <w:p w14:paraId="5A1D1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输出形式：</w:t>
      </w:r>
    </w:p>
    <w:p w14:paraId="2940E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（1）电子版：可编辑版Word文档一份、可打印版PDF文件一份。</w:t>
      </w:r>
    </w:p>
    <w:p w14:paraId="391AB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（2）纸质版：纸质文档两份。</w:t>
      </w:r>
    </w:p>
    <w:p w14:paraId="51A20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4.4.3．输出《风险分级管控与隐患排查清单》</w:t>
      </w:r>
    </w:p>
    <w:p w14:paraId="512F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输出形式：</w:t>
      </w:r>
    </w:p>
    <w:p w14:paraId="27E03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（1）电子版：可编辑版Word文档一份、可打印版PDF文件一份。</w:t>
      </w:r>
    </w:p>
    <w:p w14:paraId="5F05E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（2）纸质版：纸质文档两份。</w:t>
      </w:r>
    </w:p>
    <w:p w14:paraId="00BCF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4.4.4．安全风险四色图制作打印与张贴</w:t>
      </w:r>
    </w:p>
    <w:p w14:paraId="6C249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color w:val="C00000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通过风险分析评价清单，结合医院室内外平面地图，生成风险四色分布图。</w:t>
      </w:r>
    </w:p>
    <w:p w14:paraId="53146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4.4.5．风险告知卡制作打印与张贴</w:t>
      </w:r>
    </w:p>
    <w:p w14:paraId="51D45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通过风险分析评价清单，生成医院风险告知卡。</w:t>
      </w:r>
    </w:p>
    <w:p w14:paraId="593FC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4.5</w:t>
      </w:r>
      <w:r>
        <w:rPr>
          <w:rFonts w:hint="eastAsia" w:ascii="宋体" w:hAnsi="宋体" w:eastAsia="宋体"/>
          <w:sz w:val="28"/>
          <w:szCs w:val="28"/>
        </w:rPr>
        <w:t>培训服务</w:t>
      </w:r>
    </w:p>
    <w:p w14:paraId="7EF5B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4.5</w:t>
      </w:r>
      <w:r>
        <w:rPr>
          <w:rFonts w:hint="eastAsia" w:ascii="宋体" w:hAnsi="宋体" w:eastAsia="宋体"/>
          <w:sz w:val="28"/>
          <w:szCs w:val="28"/>
        </w:rPr>
        <w:t>.1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生产安全教育培训</w:t>
      </w:r>
    </w:p>
    <w:p w14:paraId="34345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需提供</w:t>
      </w:r>
      <w:r>
        <w:rPr>
          <w:rFonts w:hint="eastAsia" w:ascii="宋体" w:hAnsi="宋体" w:eastAsia="宋体"/>
          <w:sz w:val="28"/>
          <w:szCs w:val="28"/>
        </w:rPr>
        <w:t>具有专业资质的安全专家进行全院生产安全培训。</w:t>
      </w:r>
    </w:p>
    <w:p w14:paraId="564F6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4.5</w:t>
      </w:r>
      <w:r>
        <w:rPr>
          <w:rFonts w:hint="eastAsia" w:ascii="宋体" w:hAnsi="宋体" w:eastAsia="宋体"/>
          <w:sz w:val="28"/>
          <w:szCs w:val="28"/>
        </w:rPr>
        <w:t>.</w:t>
      </w: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交付期内培训服务</w:t>
      </w:r>
    </w:p>
    <w:p w14:paraId="3F726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成果</w:t>
      </w:r>
      <w:r>
        <w:rPr>
          <w:rFonts w:ascii="宋体" w:hAnsi="宋体" w:eastAsia="宋体"/>
          <w:sz w:val="28"/>
          <w:szCs w:val="28"/>
        </w:rPr>
        <w:t>资料完成</w:t>
      </w:r>
      <w:r>
        <w:rPr>
          <w:rFonts w:hint="eastAsia" w:ascii="宋体" w:hAnsi="宋体" w:eastAsia="宋体"/>
          <w:sz w:val="28"/>
          <w:szCs w:val="28"/>
        </w:rPr>
        <w:t>与软件交付后，</w:t>
      </w:r>
      <w:r>
        <w:rPr>
          <w:rFonts w:ascii="宋体" w:hAnsi="宋体" w:eastAsia="宋体"/>
          <w:sz w:val="28"/>
          <w:szCs w:val="28"/>
        </w:rPr>
        <w:t>需</w:t>
      </w:r>
      <w:r>
        <w:rPr>
          <w:rFonts w:hint="eastAsia" w:ascii="宋体" w:hAnsi="宋体" w:eastAsia="宋体"/>
          <w:sz w:val="28"/>
          <w:szCs w:val="28"/>
        </w:rPr>
        <w:t>组织医院相关工作人员进行集中培训。在集中培训结束后，针对不同科室的需求，安排点对点的培训服务。培训时间根据实际情况进行安排。</w:t>
      </w:r>
    </w:p>
    <w:p w14:paraId="23057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4.6保期内服务</w:t>
      </w:r>
    </w:p>
    <w:p w14:paraId="249E9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4.6.1.</w:t>
      </w:r>
      <w:r>
        <w:rPr>
          <w:rFonts w:hint="eastAsia" w:ascii="宋体" w:hAnsi="宋体" w:eastAsia="宋体"/>
          <w:sz w:val="28"/>
          <w:szCs w:val="28"/>
        </w:rPr>
        <w:t>维保期时长：项目验收后2年内。</w:t>
      </w:r>
    </w:p>
    <w:p w14:paraId="73B12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4.6.2.</w:t>
      </w:r>
      <w:r>
        <w:rPr>
          <w:rFonts w:hint="eastAsia" w:ascii="宋体" w:hAnsi="宋体" w:eastAsia="宋体"/>
          <w:sz w:val="28"/>
          <w:szCs w:val="28"/>
        </w:rPr>
        <w:t>服务内容</w:t>
      </w:r>
    </w:p>
    <w:p w14:paraId="6EAB2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4.6.2.1</w:t>
      </w:r>
      <w:r>
        <w:rPr>
          <w:rFonts w:hint="eastAsia" w:ascii="宋体" w:hAnsi="宋体" w:eastAsia="宋体"/>
          <w:sz w:val="28"/>
          <w:szCs w:val="28"/>
        </w:rPr>
        <w:t>数据更新服务</w:t>
      </w:r>
    </w:p>
    <w:p w14:paraId="372D8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在维保期内，承诺提供高质量的系统数据更新服务。每年进行2次的数据更新。</w:t>
      </w:r>
    </w:p>
    <w:p w14:paraId="68E0D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4.6.2.2软件维保升级服务</w:t>
      </w:r>
    </w:p>
    <w:p w14:paraId="14890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保期内为医院提供 7×24 小时的技术支持服务。医院可以随时联系技术人员，获取帮助和解决问题。技术团队将在接到故障报告后的4小时开始进行故障排查和处理，争取在24小时恢复软件的基本功能。在维保期内，一旦系统有升级，需免费为医院提供全面的升级服务。</w:t>
      </w:r>
    </w:p>
    <w:p w14:paraId="66DA0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4.6.2.3软件培训使用服务</w:t>
      </w:r>
    </w:p>
    <w:p w14:paraId="565AF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对于维保期内新加入的用户，需在其入职后的7天内安排一次全面的软件使用培训。每6个月组织一次集中的软件使用培训课程。</w:t>
      </w:r>
    </w:p>
    <w:p w14:paraId="6D832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二、报名人资格要求</w:t>
      </w:r>
    </w:p>
    <w:p w14:paraId="0C3FD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1.报名人必须具有独立法人资格，具有独立承担民事责任的能力；</w:t>
      </w:r>
    </w:p>
    <w:p w14:paraId="235E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2.本次采购活动前3年内在经营活动中没有重大违法记录。</w:t>
      </w:r>
    </w:p>
    <w:p w14:paraId="32E17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三、需提交的材料</w:t>
      </w:r>
    </w:p>
    <w:p w14:paraId="4B310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、供应商相关资质材料（包括但不限于企业法人营业执照、组织机构代码、税务登记、相关营业许可证、专业资格、资质证书、企业法人身份证、委托代理人身份证等复印件、法人授权委托书及其它相关资格证明文件）。</w:t>
      </w:r>
    </w:p>
    <w:p w14:paraId="4AFBA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</w:rPr>
        <w:t>服务详细清单、报价单</w:t>
      </w:r>
      <w:r>
        <w:rPr>
          <w:rFonts w:ascii="宋体" w:hAnsi="宋体" w:eastAsia="宋体"/>
          <w:sz w:val="28"/>
          <w:szCs w:val="28"/>
        </w:rPr>
        <w:t>，并承诺报价包含产品（设备）对接医院现有信息系统所需的费用；</w:t>
      </w:r>
    </w:p>
    <w:p w14:paraId="1EDA1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四、征集截止时间</w:t>
      </w:r>
    </w:p>
    <w:p w14:paraId="208E0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15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</w:rPr>
        <w:t>时00分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（北京时间）</w:t>
      </w:r>
    </w:p>
    <w:p w14:paraId="59834548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五、响应文件格式及密封要求</w:t>
      </w:r>
    </w:p>
    <w:p w14:paraId="1BD2A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1）报名资料均应加盖供应商公章（复印件材料需注明‘与原件一致’的字样）。</w:t>
      </w:r>
    </w:p>
    <w:p w14:paraId="20BF9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2）以上材料一并装入密封信封内。</w:t>
      </w:r>
    </w:p>
    <w:p w14:paraId="14253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3）本次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调研</w:t>
      </w:r>
      <w:r>
        <w:rPr>
          <w:rFonts w:hint="eastAsia" w:ascii="宋体" w:hAnsi="宋体" w:eastAsia="宋体"/>
          <w:sz w:val="28"/>
          <w:szCs w:val="28"/>
        </w:rPr>
        <w:t>通过现场送达报价文件方式进行，请做好密封与标记。并加盖供应商公章，封皮上写明项目名称、供应商全称、联系地址、供应商授权代表联系方式 。报价文件不符合密封要求的，采购人有权拒绝接收。</w:t>
      </w:r>
    </w:p>
    <w:p w14:paraId="60EF9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6.响应文件一旦提交，即不能再次进行修改，否则采购人有权拒绝接收。</w:t>
      </w:r>
    </w:p>
    <w:p w14:paraId="463C3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六、注意事项</w:t>
      </w:r>
    </w:p>
    <w:p w14:paraId="7D531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1、本次调研结果仅做为后续采购的参数和限价依据，我院不对参与报送的产品及方案作任何承诺。</w:t>
      </w:r>
    </w:p>
    <w:p w14:paraId="26496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2、各供应商必须按项目需求如实制作方案并进行报价，杜绝弄虚作假，胡乱报价，各供应商报价一经确认禁止更改。</w:t>
      </w:r>
    </w:p>
    <w:p w14:paraId="1A077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3、项目严禁各供应商进行恶意串通、恶意竞争或其它违规行为，一经查实，将列入供应商黑名单。</w:t>
      </w:r>
    </w:p>
    <w:p w14:paraId="12306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4、公告截至日期后递交的报名及报价资料无效。</w:t>
      </w:r>
      <w:r>
        <w:rPr>
          <w:rFonts w:hint="eastAsia" w:ascii="宋体" w:hAnsi="宋体" w:eastAsia="宋体"/>
          <w:sz w:val="28"/>
          <w:szCs w:val="28"/>
        </w:rPr>
        <w:t>地址：福建省福安市鹤山路</w:t>
      </w:r>
      <w:r>
        <w:rPr>
          <w:rFonts w:ascii="宋体" w:hAnsi="宋体" w:eastAsia="宋体"/>
          <w:sz w:val="28"/>
          <w:szCs w:val="28"/>
        </w:rPr>
        <w:t>89号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3B7C7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七、联系人和联系方式</w:t>
      </w:r>
    </w:p>
    <w:p w14:paraId="74404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联系人：黄女士</w:t>
      </w:r>
    </w:p>
    <w:p w14:paraId="3D473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联系电话：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安全生产</w:t>
      </w:r>
      <w:r>
        <w:rPr>
          <w:rFonts w:hint="eastAsia" w:ascii="宋体" w:hAnsi="宋体" w:eastAsia="宋体"/>
          <w:sz w:val="28"/>
          <w:szCs w:val="28"/>
        </w:rPr>
        <w:t>科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0593-8981261</w:t>
      </w:r>
    </w:p>
    <w:p w14:paraId="109E6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0EBB1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6F86D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20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宁德市闽东医院</w:t>
      </w:r>
    </w:p>
    <w:p w14:paraId="2B23A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20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2025年9月4日</w:t>
      </w:r>
    </w:p>
    <w:p w14:paraId="339CC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kMzg4ZjQzZWY0YzY1NjYwMzY3ZjcxZTI2NjQ4NzQifQ=="/>
  </w:docVars>
  <w:rsids>
    <w:rsidRoot w:val="00E15AB5"/>
    <w:rsid w:val="00146E11"/>
    <w:rsid w:val="001B3068"/>
    <w:rsid w:val="0041328F"/>
    <w:rsid w:val="005102AF"/>
    <w:rsid w:val="006D3627"/>
    <w:rsid w:val="006F5DB2"/>
    <w:rsid w:val="00945B77"/>
    <w:rsid w:val="00BF3B59"/>
    <w:rsid w:val="00D40B57"/>
    <w:rsid w:val="00E15AB5"/>
    <w:rsid w:val="00EB4AF6"/>
    <w:rsid w:val="00F01E19"/>
    <w:rsid w:val="00F42AFA"/>
    <w:rsid w:val="00F7108A"/>
    <w:rsid w:val="00F766AA"/>
    <w:rsid w:val="05ED1BAC"/>
    <w:rsid w:val="0ED7272A"/>
    <w:rsid w:val="20A7756A"/>
    <w:rsid w:val="2A3141A8"/>
    <w:rsid w:val="344E43B3"/>
    <w:rsid w:val="36AA33F6"/>
    <w:rsid w:val="439D7762"/>
    <w:rsid w:val="449D1A6E"/>
    <w:rsid w:val="44BF09B5"/>
    <w:rsid w:val="493020B6"/>
    <w:rsid w:val="4CDC02DD"/>
    <w:rsid w:val="4D0C3B83"/>
    <w:rsid w:val="4D636815"/>
    <w:rsid w:val="555E351A"/>
    <w:rsid w:val="586B3046"/>
    <w:rsid w:val="5A7B6CD4"/>
    <w:rsid w:val="683B13FA"/>
    <w:rsid w:val="70956F14"/>
    <w:rsid w:val="72702DF4"/>
    <w:rsid w:val="796C0DC9"/>
    <w:rsid w:val="7C790E6E"/>
    <w:rsid w:val="7E7933A7"/>
    <w:rsid w:val="7EAB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qFormat/>
    <w:uiPriority w:val="22"/>
    <w:rPr>
      <w:b/>
      <w:bCs/>
    </w:rPr>
  </w:style>
  <w:style w:type="character" w:customStyle="1" w:styleId="19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2294</Words>
  <Characters>2454</Characters>
  <Lines>17</Lines>
  <Paragraphs>4</Paragraphs>
  <TotalTime>4</TotalTime>
  <ScaleCrop>false</ScaleCrop>
  <LinksUpToDate>false</LinksUpToDate>
  <CharactersWithSpaces>2460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2024-10-10T06:15:00Z</dcterms:created>
  <dc:creator>子灵 木</dc:creator>
  <cp:lastModifiedBy>黄宾</cp:lastModifiedBy>
  <cp:lastPrinted>2025-09-03T07:46:00Z</cp:lastPrinted>
  <dcterms:modified xsi:type="dcterms:W3CDTF">2025-09-03T08:37:27Z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0920EB498DF146E397DC89572F0E89D0_12</vt:lpwstr>
  </property>
  <property fmtid="{D5CDD505-2E9C-101B-9397-08002B2CF9AE}" pid="4" name="KSOTemplateDocerSaveRecord">
    <vt:lpwstr>eyJoZGlkIjoiNjIxMGI2MThjODc1NTI2Yzk3YzkyN2JkMzNhOTdlNzQifQ==</vt:lpwstr>
  </property>
</Properties>
</file>